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58" w:rsidRDefault="00E72A58" w:rsidP="00E72A58">
      <w:pPr>
        <w:pStyle w:val="Normlnweb"/>
        <w:jc w:val="center"/>
      </w:pPr>
      <w:bookmarkStart w:id="0" w:name="_GoBack"/>
      <w:bookmarkEnd w:id="0"/>
      <w:r>
        <w:rPr>
          <w:b/>
          <w:bCs/>
        </w:rPr>
        <w:t xml:space="preserve">Postup chování při dopravní nehodě </w:t>
      </w:r>
    </w:p>
    <w:p w:rsidR="00E72A58" w:rsidRDefault="00E72A58" w:rsidP="00E72A58">
      <w:pPr>
        <w:pStyle w:val="Normlnweb"/>
        <w:jc w:val="both"/>
      </w:pPr>
      <w:r>
        <w:t>Je nutné zabezpečit předání informace o dopravní nehodě kterékoliv složce integrovaného záchranného systému. K tomu využijte tísňová telefonní čísla (158, 155, 150, 112) nebo informaci předejte prostřednictvím jiné osoby.</w:t>
      </w:r>
    </w:p>
    <w:p w:rsidR="00E72A58" w:rsidRDefault="00E72A58" w:rsidP="00E72A58">
      <w:pPr>
        <w:pStyle w:val="Normlnweb"/>
        <w:jc w:val="both"/>
      </w:pPr>
      <w:r>
        <w:rPr>
          <w:b/>
          <w:bCs/>
        </w:rPr>
        <w:t xml:space="preserve">Hlášení o nehodě by mělo obsahovat tyto </w:t>
      </w:r>
      <w:proofErr w:type="gramStart"/>
      <w:r>
        <w:rPr>
          <w:b/>
          <w:bCs/>
        </w:rPr>
        <w:t>informace</w:t>
      </w:r>
      <w:r>
        <w:t xml:space="preserve"> :</w:t>
      </w:r>
      <w:proofErr w:type="gramEnd"/>
    </w:p>
    <w:p w:rsidR="00E72A58" w:rsidRDefault="00E72A58" w:rsidP="00C33976">
      <w:pPr>
        <w:pStyle w:val="Normlnweb"/>
      </w:pPr>
      <w:r>
        <w:t>• místo nehody (orientační body místa)</w:t>
      </w:r>
      <w:r>
        <w:br/>
        <w:t>• zda došlo k újmě na zdraví (pravděpodobný počet raněných, případně počet usmrcených)</w:t>
      </w:r>
      <w:r>
        <w:br/>
        <w:t>• zda je potřeba zraněné osoby vyprostit</w:t>
      </w:r>
      <w:r>
        <w:br/>
        <w:t>• zda v důsledku nehody nedochází k úniku ropných látek</w:t>
      </w:r>
      <w:r>
        <w:br/>
        <w:t>• zda je přepravní prostředek označen oranžovou tabulí nebo jinou výstražnou značkou, pokud ano, snažte se přečíst, o jakou látku jde nebo přečíst čísla v oranžové obdélníkové tabulce</w:t>
      </w:r>
      <w:r>
        <w:br/>
        <w:t>• kdo nehodu oznamuje</w:t>
      </w:r>
      <w:r>
        <w:br/>
        <w:t>• případně další podrobnosti</w:t>
      </w:r>
    </w:p>
    <w:p w:rsidR="00E72A58" w:rsidRDefault="00E72A58" w:rsidP="00E72A58">
      <w:pPr>
        <w:pStyle w:val="Normlnweb"/>
        <w:jc w:val="both"/>
      </w:pPr>
      <w:r>
        <w:br/>
      </w:r>
      <w:r>
        <w:rPr>
          <w:b/>
          <w:bCs/>
        </w:rPr>
        <w:t>Další činnost po ohlášení nehody:</w:t>
      </w:r>
    </w:p>
    <w:p w:rsidR="00E72A58" w:rsidRDefault="00E72A58" w:rsidP="00C33976">
      <w:pPr>
        <w:pStyle w:val="Normlnweb"/>
      </w:pPr>
      <w:r>
        <w:t>• poskytněte podle svých schopností první pomoc</w:t>
      </w:r>
      <w:r>
        <w:br/>
        <w:t>• zabraňte podle možnosti dalšímu rozšíření nehody jinými účastníky provozu</w:t>
      </w:r>
      <w:r>
        <w:br/>
        <w:t>• dle možností zabraňte úniku ropných látek</w:t>
      </w:r>
      <w:r>
        <w:br/>
        <w:t xml:space="preserve">• v případě přepravy nebezpečných látek se k havarovanému prostředku </w:t>
      </w:r>
      <w:proofErr w:type="gramStart"/>
      <w:r>
        <w:t>nepřibližujte</w:t>
      </w:r>
      <w:proofErr w:type="gramEnd"/>
      <w:r>
        <w:br/>
        <w:t xml:space="preserve">• </w:t>
      </w:r>
      <w:proofErr w:type="gramStart"/>
      <w:r>
        <w:t>vyčkejte</w:t>
      </w:r>
      <w:proofErr w:type="gramEnd"/>
      <w:r>
        <w:t xml:space="preserve"> do příjezdu policie a záchranných složek</w:t>
      </w:r>
    </w:p>
    <w:p w:rsidR="00E72A58" w:rsidRDefault="00E72A58" w:rsidP="00E72A58">
      <w:pPr>
        <w:pStyle w:val="Normlnweb"/>
        <w:jc w:val="both"/>
      </w:pPr>
      <w:r>
        <w:br/>
      </w:r>
      <w:r>
        <w:rPr>
          <w:b/>
          <w:bCs/>
        </w:rPr>
        <w:t>Možné označení přepravního prostředku přepravujícího škodliviny</w:t>
      </w:r>
      <w:r>
        <w:t>:</w:t>
      </w:r>
    </w:p>
    <w:p w:rsidR="00E72A58" w:rsidRDefault="00E72A58" w:rsidP="00E72A58">
      <w:pPr>
        <w:pStyle w:val="Normlnweb"/>
        <w:jc w:val="center"/>
      </w:pPr>
      <w:r>
        <w:rPr>
          <w:b/>
          <w:bCs/>
        </w:rPr>
        <w:t>NEBEZPEČNÝ NÁKLAD</w:t>
      </w:r>
      <w:r>
        <w:br/>
        <w:t>Bílá cedule s černým nápisem</w:t>
      </w:r>
    </w:p>
    <w:p w:rsidR="00E72A58" w:rsidRDefault="00E72A58" w:rsidP="00E72A58">
      <w:pPr>
        <w:pStyle w:val="Normlnweb"/>
        <w:jc w:val="center"/>
      </w:pPr>
      <w:r>
        <w:t>268</w:t>
      </w:r>
      <w:r>
        <w:br/>
        <w:t>1005</w:t>
      </w:r>
      <w:r>
        <w:br/>
        <w:t xml:space="preserve">Oranžová tabulka: - vrchní číslo udává </w:t>
      </w:r>
      <w:r>
        <w:rPr>
          <w:b/>
          <w:bCs/>
        </w:rPr>
        <w:t>stupeň nebezpečí</w:t>
      </w:r>
      <w:r>
        <w:t xml:space="preserve"> (</w:t>
      </w:r>
      <w:proofErr w:type="spellStart"/>
      <w:r>
        <w:t>Kemlerův</w:t>
      </w:r>
      <w:proofErr w:type="spellEnd"/>
      <w:r>
        <w:t xml:space="preserve"> kód)</w:t>
      </w:r>
      <w:r>
        <w:br/>
        <w:t xml:space="preserve">- dolní číslo udává </w:t>
      </w:r>
      <w:r>
        <w:rPr>
          <w:b/>
          <w:bCs/>
        </w:rPr>
        <w:t>druh chemické látky</w:t>
      </w:r>
      <w:r>
        <w:t xml:space="preserve"> – identifikační číslo</w:t>
      </w:r>
      <w:r>
        <w:br/>
        <w:t xml:space="preserve">UN kód-ADR-RID – mezinárodní značení </w:t>
      </w:r>
    </w:p>
    <w:p w:rsidR="00E72A58" w:rsidRDefault="00E72A58" w:rsidP="00E72A58">
      <w:pPr>
        <w:pStyle w:val="Normlnweb"/>
      </w:pPr>
      <w:r>
        <w:t>Např.:</w:t>
      </w:r>
      <w:r>
        <w:br/>
        <w:t>268 = 2 – plyn, 6 – jedovatý, 8 – žíravý</w:t>
      </w:r>
      <w:r>
        <w:br/>
        <w:t xml:space="preserve">1005 = amoniak (čpavek) </w:t>
      </w:r>
      <w:r>
        <w:br/>
        <w:t> </w:t>
      </w:r>
    </w:p>
    <w:p w:rsidR="00C23619" w:rsidRPr="00E72A58" w:rsidRDefault="00C23619" w:rsidP="00E72A58"/>
    <w:sectPr w:rsidR="00C23619" w:rsidRPr="00E72A58" w:rsidSect="00CB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996"/>
    <w:rsid w:val="00592A88"/>
    <w:rsid w:val="00694996"/>
    <w:rsid w:val="00C1269D"/>
    <w:rsid w:val="00C23619"/>
    <w:rsid w:val="00C33976"/>
    <w:rsid w:val="00CB68B5"/>
    <w:rsid w:val="00D60061"/>
    <w:rsid w:val="00E72A58"/>
    <w:rsid w:val="00F4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Kadlin</dc:creator>
  <cp:keywords/>
  <dc:description/>
  <cp:lastModifiedBy>Dell</cp:lastModifiedBy>
  <cp:revision>3</cp:revision>
  <dcterms:created xsi:type="dcterms:W3CDTF">2017-11-05T10:19:00Z</dcterms:created>
  <dcterms:modified xsi:type="dcterms:W3CDTF">2020-02-26T23:38:00Z</dcterms:modified>
</cp:coreProperties>
</file>